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4E003A41" w:rsidR="00B123FF" w:rsidRPr="00455A3C" w:rsidRDefault="00BA7C33" w:rsidP="00F60A53">
      <w:pPr>
        <w:pStyle w:val="F2-zkladn"/>
        <w:spacing w:line="276" w:lineRule="auto"/>
        <w:rPr>
          <w:b/>
          <w:sz w:val="28"/>
          <w:szCs w:val="28"/>
        </w:rPr>
      </w:pPr>
      <w:r>
        <w:rPr>
          <w:b/>
          <w:sz w:val="28"/>
          <w:szCs w:val="28"/>
        </w:rPr>
        <w:t>ANALÝZA</w:t>
      </w:r>
    </w:p>
    <w:p w14:paraId="59F979EF" w14:textId="732EC1D7"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24506624">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A26E2"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63AFEA26"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6A8847A3">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65DC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C7546F">
        <w:t>13</w:t>
      </w:r>
      <w:r w:rsidR="005420B4" w:rsidRPr="00893890">
        <w:t>.</w:t>
      </w:r>
      <w:r w:rsidR="00296EFF">
        <w:t xml:space="preserve"> </w:t>
      </w:r>
      <w:r w:rsidR="00C7546F">
        <w:t>března</w:t>
      </w:r>
      <w:r w:rsidR="00A30105" w:rsidRPr="00893890">
        <w:t xml:space="preserve"> 20</w:t>
      </w:r>
      <w:r w:rsidR="00A7414F" w:rsidRPr="00893890">
        <w:t>2</w:t>
      </w:r>
      <w:r w:rsidR="00CB6DEB">
        <w:t>4</w:t>
      </w:r>
    </w:p>
    <w:p w14:paraId="7EECF1EA" w14:textId="2B7450D3" w:rsidR="002027ED" w:rsidRPr="002027ED" w:rsidRDefault="002027ED" w:rsidP="002027ED">
      <w:pPr>
        <w:pStyle w:val="F2-zkladn"/>
        <w:tabs>
          <w:tab w:val="right" w:pos="9070"/>
        </w:tabs>
        <w:spacing w:line="276" w:lineRule="auto"/>
      </w:pPr>
    </w:p>
    <w:p w14:paraId="2E78882E" w14:textId="7916CDB8" w:rsidR="00E76BE0" w:rsidRPr="00725F39" w:rsidRDefault="00643F9F"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C7546F">
        <w:rPr>
          <w:rStyle w:val="normaltextrun"/>
          <w:rFonts w:ascii="Arial" w:hAnsi="Arial" w:cs="Arial"/>
          <w:b/>
          <w:bCs/>
          <w:color w:val="000000"/>
          <w:sz w:val="28"/>
          <w:szCs w:val="28"/>
          <w:lang w:val="cs-CZ"/>
        </w:rPr>
        <w:t xml:space="preserve">Zpátky do reality </w:t>
      </w:r>
      <w:r w:rsidR="00C7546F" w:rsidRPr="00C7546F">
        <w:rPr>
          <w:rStyle w:val="normaltextrun"/>
          <w:rFonts w:ascii="Arial" w:hAnsi="Arial" w:cs="Arial"/>
          <w:b/>
          <w:bCs/>
          <w:color w:val="000000"/>
          <w:sz w:val="28"/>
          <w:szCs w:val="28"/>
          <w:lang w:val="cs-CZ"/>
        </w:rPr>
        <w:t>–</w:t>
      </w:r>
      <w:r w:rsidR="00C7546F">
        <w:rPr>
          <w:color w:val="20242B"/>
          <w:shd w:val="clear" w:color="auto" w:fill="FFFFFF"/>
        </w:rPr>
        <w:t xml:space="preserve"> </w:t>
      </w:r>
      <w:r w:rsidR="00C7546F">
        <w:rPr>
          <w:rStyle w:val="normaltextrun"/>
          <w:rFonts w:ascii="Arial" w:hAnsi="Arial" w:cs="Arial"/>
          <w:b/>
          <w:bCs/>
          <w:color w:val="000000"/>
          <w:sz w:val="28"/>
          <w:szCs w:val="28"/>
          <w:lang w:val="cs-CZ"/>
        </w:rPr>
        <w:t>pravidelný příjem v roce 2024</w:t>
      </w:r>
    </w:p>
    <w:p w14:paraId="3E77B751" w14:textId="77777777" w:rsidR="00C7546F" w:rsidRPr="00C7546F" w:rsidRDefault="00C7546F" w:rsidP="00C7546F">
      <w:pPr>
        <w:spacing w:line="276" w:lineRule="auto"/>
        <w:rPr>
          <w:rFonts w:asciiTheme="minorHAnsi" w:hAnsiTheme="minorHAnsi" w:cstheme="minorHAnsi"/>
          <w:b/>
          <w:bCs/>
          <w:sz w:val="24"/>
          <w:szCs w:val="24"/>
        </w:rPr>
      </w:pPr>
      <w:r w:rsidRPr="00C7546F">
        <w:rPr>
          <w:rFonts w:asciiTheme="minorHAnsi" w:hAnsiTheme="minorHAnsi" w:cstheme="minorHAnsi"/>
          <w:b/>
          <w:bCs/>
          <w:sz w:val="24"/>
          <w:szCs w:val="24"/>
        </w:rPr>
        <w:t xml:space="preserve">Investování za účelem dosažení pravidelného příjmu se oproti předpandemické době nízkých úrokových sazeb a kvantitativního uvolňování radikálně změnilo. Poprvé po mnoha letech může být úrok na peněžním vkladu lákavou alternativou. „Uložení“ peněz v </w:t>
      </w:r>
      <w:proofErr w:type="spellStart"/>
      <w:r w:rsidRPr="00C7546F">
        <w:rPr>
          <w:rFonts w:asciiTheme="minorHAnsi" w:hAnsiTheme="minorHAnsi" w:cstheme="minorHAnsi"/>
          <w:b/>
          <w:bCs/>
          <w:sz w:val="24"/>
          <w:szCs w:val="24"/>
        </w:rPr>
        <w:t>ultradefenzivní</w:t>
      </w:r>
      <w:proofErr w:type="spellEnd"/>
      <w:r w:rsidRPr="00C7546F">
        <w:rPr>
          <w:rFonts w:asciiTheme="minorHAnsi" w:hAnsiTheme="minorHAnsi" w:cstheme="minorHAnsi"/>
          <w:b/>
          <w:bCs/>
          <w:sz w:val="24"/>
          <w:szCs w:val="24"/>
        </w:rPr>
        <w:t xml:space="preserve"> hotovosti však obnáší vlastní rizika a nenabízí žádnou příležitost ke kapitálovému zhodnocení. Rok 2024 proto bude ve znamení hledání alternativ k hotovosti.</w:t>
      </w:r>
    </w:p>
    <w:p w14:paraId="27EA2FA9" w14:textId="7883F995" w:rsidR="00C7546F" w:rsidRDefault="00C7546F" w:rsidP="00C7546F">
      <w:pPr>
        <w:spacing w:line="360" w:lineRule="auto"/>
        <w:rPr>
          <w:color w:val="20242B"/>
          <w:shd w:val="clear" w:color="auto" w:fill="FFFFFF"/>
        </w:rPr>
      </w:pPr>
      <w:r w:rsidRPr="00C7546F">
        <w:rPr>
          <w:color w:val="20242B"/>
          <w:shd w:val="clear" w:color="auto" w:fill="FFFFFF"/>
        </w:rPr>
        <w:t xml:space="preserve">Kdybyste současné depozitní sazby zpočátku roku 2024 nabídli investorů jen pár let zpátky, pravděpodobně by vám utrhali ruce. Více než 15 let ultra nízkých úrokových sazeb patřičně srazilo naše očekávání ohledně sazeb na běžných i spořících účtech. Dnes mohou investoři získat prakticky bez rizika pětiprocentní výnos, což pro ty z nás, kteří jsme byli zvyklí za své peníze nedostávat téměř nic, vypadá velmi lákavě. </w:t>
      </w:r>
    </w:p>
    <w:p w14:paraId="6C828091" w14:textId="46697B1A" w:rsidR="00C7546F" w:rsidRPr="00C7546F" w:rsidRDefault="00C7546F" w:rsidP="00C7546F">
      <w:pPr>
        <w:spacing w:line="360" w:lineRule="auto"/>
        <w:rPr>
          <w:color w:val="20242B"/>
          <w:shd w:val="clear" w:color="auto" w:fill="FFFFFF"/>
        </w:rPr>
      </w:pPr>
      <w:r w:rsidRPr="00C7546F">
        <w:rPr>
          <w:color w:val="20242B"/>
          <w:shd w:val="clear" w:color="auto" w:fill="FFFFFF"/>
        </w:rPr>
        <w:t xml:space="preserve">Má to však háček: sazby jsou vyšší, protože inflace je nyní vyšší. Reálné peněžní výnosy </w:t>
      </w:r>
      <w:r w:rsidRPr="00AE04A8">
        <w:rPr>
          <w:color w:val="20242B"/>
          <w:shd w:val="clear" w:color="auto" w:fill="FFFFFF"/>
        </w:rPr>
        <w:t>–</w:t>
      </w:r>
      <w:r w:rsidRPr="00C7546F">
        <w:rPr>
          <w:color w:val="20242B"/>
          <w:shd w:val="clear" w:color="auto" w:fill="FFFFFF"/>
        </w:rPr>
        <w:t xml:space="preserve"> sazby z vkladů snížené o míru inflace </w:t>
      </w:r>
      <w:r w:rsidRPr="00AE04A8">
        <w:rPr>
          <w:color w:val="20242B"/>
          <w:shd w:val="clear" w:color="auto" w:fill="FFFFFF"/>
        </w:rPr>
        <w:t>–</w:t>
      </w:r>
      <w:r w:rsidRPr="00C7546F">
        <w:rPr>
          <w:color w:val="20242B"/>
          <w:shd w:val="clear" w:color="auto" w:fill="FFFFFF"/>
        </w:rPr>
        <w:t xml:space="preserve"> jsou stále nízké a 5 procent nemusí být tak dobrý výnos, jak se na první pohled zdá.</w:t>
      </w:r>
    </w:p>
    <w:p w14:paraId="4A20862B" w14:textId="672FE026" w:rsidR="0061643A" w:rsidRDefault="00C7546F" w:rsidP="0061643A">
      <w:pPr>
        <w:pStyle w:val="F2-zkladn"/>
        <w:rPr>
          <w:rFonts w:asciiTheme="minorHAnsi" w:hAnsiTheme="minorHAnsi" w:cstheme="minorHAnsi"/>
          <w:b/>
          <w:bCs/>
          <w:sz w:val="24"/>
          <w:szCs w:val="24"/>
        </w:rPr>
      </w:pPr>
      <w:r w:rsidRPr="00C7546F">
        <w:rPr>
          <w:rFonts w:asciiTheme="minorHAnsi" w:hAnsiTheme="minorHAnsi" w:cstheme="minorHAnsi"/>
          <w:b/>
          <w:bCs/>
          <w:sz w:val="24"/>
          <w:szCs w:val="24"/>
        </w:rPr>
        <w:drawing>
          <wp:anchor distT="0" distB="0" distL="114300" distR="114300" simplePos="0" relativeHeight="251658240" behindDoc="0" locked="0" layoutInCell="1" allowOverlap="1" wp14:anchorId="368EB8BD" wp14:editId="582A1A2E">
            <wp:simplePos x="0" y="0"/>
            <wp:positionH relativeFrom="column">
              <wp:posOffset>-46990</wp:posOffset>
            </wp:positionH>
            <wp:positionV relativeFrom="paragraph">
              <wp:posOffset>476885</wp:posOffset>
            </wp:positionV>
            <wp:extent cx="5759450" cy="2162810"/>
            <wp:effectExtent l="0" t="0" r="0" b="8890"/>
            <wp:wrapTopAndBottom/>
            <wp:docPr id="21194847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84702"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162810"/>
                    </a:xfrm>
                    <a:prstGeom prst="rect">
                      <a:avLst/>
                    </a:prstGeom>
                  </pic:spPr>
                </pic:pic>
              </a:graphicData>
            </a:graphic>
          </wp:anchor>
        </w:drawing>
      </w:r>
      <w:r w:rsidR="00BA7C33">
        <w:rPr>
          <w:rFonts w:asciiTheme="minorHAnsi" w:hAnsiTheme="minorHAnsi" w:cstheme="minorHAnsi"/>
          <w:b/>
          <w:bCs/>
          <w:sz w:val="24"/>
          <w:szCs w:val="24"/>
        </w:rPr>
        <w:t>Graf</w:t>
      </w:r>
      <w:r>
        <w:rPr>
          <w:rFonts w:asciiTheme="minorHAnsi" w:hAnsiTheme="minorHAnsi" w:cstheme="minorHAnsi"/>
          <w:b/>
          <w:bCs/>
          <w:sz w:val="24"/>
          <w:szCs w:val="24"/>
        </w:rPr>
        <w:t xml:space="preserve"> 1</w:t>
      </w:r>
      <w:r w:rsidR="00BA7C33">
        <w:rPr>
          <w:rFonts w:asciiTheme="minorHAnsi" w:hAnsiTheme="minorHAnsi" w:cstheme="minorHAnsi"/>
          <w:b/>
          <w:bCs/>
          <w:sz w:val="24"/>
          <w:szCs w:val="24"/>
        </w:rPr>
        <w:t xml:space="preserve">: </w:t>
      </w:r>
      <w:r>
        <w:rPr>
          <w:rFonts w:asciiTheme="minorHAnsi" w:hAnsiTheme="minorHAnsi" w:cstheme="minorHAnsi"/>
          <w:b/>
          <w:bCs/>
          <w:sz w:val="24"/>
          <w:szCs w:val="24"/>
        </w:rPr>
        <w:t>Hotovost není pro investory žádající dlouhodobý příjem dobrou volbou</w:t>
      </w:r>
    </w:p>
    <w:p w14:paraId="6DD49D32" w14:textId="6311490B" w:rsidR="00C7546F" w:rsidRPr="006C44DF" w:rsidRDefault="00C7546F" w:rsidP="0061643A">
      <w:pPr>
        <w:pStyle w:val="F2-zkladn"/>
        <w:rPr>
          <w:color w:val="20242B"/>
          <w:sz w:val="18"/>
          <w:szCs w:val="18"/>
          <w:shd w:val="clear" w:color="auto" w:fill="FFFFFF"/>
        </w:rPr>
      </w:pPr>
      <w:r w:rsidRPr="006C44DF">
        <w:rPr>
          <w:i/>
          <w:iCs/>
          <w:color w:val="20242B"/>
          <w:sz w:val="18"/>
          <w:szCs w:val="18"/>
          <w:shd w:val="clear" w:color="auto" w:fill="FFFFFF"/>
        </w:rPr>
        <w:t xml:space="preserve">Poznámka: </w:t>
      </w:r>
      <w:r w:rsidRPr="006C44DF">
        <w:rPr>
          <w:i/>
          <w:iCs/>
          <w:color w:val="20242B"/>
          <w:sz w:val="18"/>
          <w:szCs w:val="18"/>
          <w:shd w:val="clear" w:color="auto" w:fill="FFFFFF"/>
        </w:rPr>
        <w:t xml:space="preserve">Index celkového výnosu ICE </w:t>
      </w:r>
      <w:proofErr w:type="spellStart"/>
      <w:r w:rsidRPr="006C44DF">
        <w:rPr>
          <w:i/>
          <w:iCs/>
          <w:color w:val="20242B"/>
          <w:sz w:val="18"/>
          <w:szCs w:val="18"/>
          <w:shd w:val="clear" w:color="auto" w:fill="FFFFFF"/>
        </w:rPr>
        <w:t>BofA</w:t>
      </w:r>
      <w:proofErr w:type="spellEnd"/>
      <w:r w:rsidRPr="006C44DF">
        <w:rPr>
          <w:i/>
          <w:iCs/>
          <w:color w:val="20242B"/>
          <w:sz w:val="18"/>
          <w:szCs w:val="18"/>
          <w:shd w:val="clear" w:color="auto" w:fill="FFFFFF"/>
        </w:rPr>
        <w:t xml:space="preserve"> minus index CPI USA.</w:t>
      </w:r>
      <w:r w:rsidRPr="006C44DF">
        <w:rPr>
          <w:i/>
          <w:iCs/>
          <w:color w:val="20242B"/>
          <w:sz w:val="18"/>
          <w:szCs w:val="18"/>
          <w:shd w:val="clear" w:color="auto" w:fill="FFFFFF"/>
        </w:rPr>
        <w:t xml:space="preserve"> Zdroj: </w:t>
      </w:r>
      <w:proofErr w:type="spellStart"/>
      <w:r w:rsidRPr="006C44DF">
        <w:rPr>
          <w:i/>
          <w:iCs/>
          <w:color w:val="20242B"/>
          <w:sz w:val="18"/>
          <w:szCs w:val="18"/>
          <w:shd w:val="clear" w:color="auto" w:fill="FFFFFF"/>
        </w:rPr>
        <w:t>Fidelity</w:t>
      </w:r>
      <w:proofErr w:type="spellEnd"/>
      <w:r w:rsidRPr="006C44DF">
        <w:rPr>
          <w:i/>
          <w:iCs/>
          <w:color w:val="20242B"/>
          <w:sz w:val="18"/>
          <w:szCs w:val="18"/>
          <w:shd w:val="clear" w:color="auto" w:fill="FFFFFF"/>
        </w:rPr>
        <w:t xml:space="preserve"> International, </w:t>
      </w:r>
      <w:proofErr w:type="spellStart"/>
      <w:r w:rsidRPr="006C44DF">
        <w:rPr>
          <w:i/>
          <w:iCs/>
          <w:color w:val="20242B"/>
          <w:sz w:val="18"/>
          <w:szCs w:val="18"/>
          <w:shd w:val="clear" w:color="auto" w:fill="FFFFFF"/>
        </w:rPr>
        <w:t>Refinitiv</w:t>
      </w:r>
      <w:proofErr w:type="spellEnd"/>
      <w:r w:rsidRPr="006C44DF">
        <w:rPr>
          <w:i/>
          <w:iCs/>
          <w:color w:val="20242B"/>
          <w:sz w:val="18"/>
          <w:szCs w:val="18"/>
          <w:shd w:val="clear" w:color="auto" w:fill="FFFFFF"/>
        </w:rPr>
        <w:t xml:space="preserve">, </w:t>
      </w:r>
      <w:proofErr w:type="spellStart"/>
      <w:r w:rsidRPr="006C44DF">
        <w:rPr>
          <w:i/>
          <w:iCs/>
          <w:color w:val="20242B"/>
          <w:sz w:val="18"/>
          <w:szCs w:val="18"/>
          <w:shd w:val="clear" w:color="auto" w:fill="FFFFFF"/>
        </w:rPr>
        <w:t>February</w:t>
      </w:r>
      <w:proofErr w:type="spellEnd"/>
      <w:r w:rsidRPr="006C44DF">
        <w:rPr>
          <w:i/>
          <w:iCs/>
          <w:color w:val="20242B"/>
          <w:sz w:val="18"/>
          <w:szCs w:val="18"/>
          <w:shd w:val="clear" w:color="auto" w:fill="FFFFFF"/>
        </w:rPr>
        <w:t xml:space="preserve"> 2024</w:t>
      </w:r>
      <w:r w:rsidRPr="006C44DF">
        <w:rPr>
          <w:color w:val="20242B"/>
          <w:sz w:val="18"/>
          <w:szCs w:val="18"/>
          <w:shd w:val="clear" w:color="auto" w:fill="FFFFFF"/>
        </w:rPr>
        <w:t>.</w:t>
      </w:r>
    </w:p>
    <w:p w14:paraId="3BAB5D16" w14:textId="32B6FB61" w:rsidR="00AE04A8" w:rsidRDefault="00AE04A8" w:rsidP="00AE04A8">
      <w:pPr>
        <w:spacing w:after="210" w:line="240" w:lineRule="auto"/>
        <w:rPr>
          <w:rFonts w:ascii="Times New Roman" w:hAnsi="Times New Roman" w:cs="Times New Roman"/>
        </w:rPr>
      </w:pPr>
      <w:r w:rsidRPr="00AE04A8">
        <w:rPr>
          <w:rFonts w:ascii="Times New Roman" w:hAnsi="Times New Roman" w:cs="Times New Roman"/>
        </w:rPr>
        <w:t xml:space="preserve"> </w:t>
      </w:r>
    </w:p>
    <w:p w14:paraId="7FF8A9AA" w14:textId="4723B90B" w:rsidR="006C44DF" w:rsidRPr="006C44DF" w:rsidRDefault="006C44DF" w:rsidP="006C44DF">
      <w:pPr>
        <w:spacing w:line="360" w:lineRule="auto"/>
        <w:rPr>
          <w:color w:val="20242B"/>
          <w:shd w:val="clear" w:color="auto" w:fill="FFFFFF"/>
        </w:rPr>
      </w:pPr>
      <w:r w:rsidRPr="006C44DF">
        <w:rPr>
          <w:color w:val="20242B"/>
          <w:shd w:val="clear" w:color="auto" w:fill="FFFFFF"/>
        </w:rPr>
        <w:lastRenderedPageBreak/>
        <w:t>Spící inflace v dekádě před pandemií znamená, že poprvé od finanční krize musí investoři brát v potaz rozdíl mezi reálnou a nominální mírou návratnosti.</w:t>
      </w:r>
    </w:p>
    <w:p w14:paraId="13674DF4" w14:textId="63A55991" w:rsidR="00AE04A8" w:rsidRDefault="006C44DF" w:rsidP="00AE04A8">
      <w:pPr>
        <w:spacing w:after="210" w:line="240" w:lineRule="auto"/>
        <w:rPr>
          <w:rFonts w:asciiTheme="minorHAnsi" w:hAnsiTheme="minorHAnsi" w:cstheme="minorHAnsi"/>
          <w:b/>
          <w:bCs/>
          <w:sz w:val="24"/>
          <w:szCs w:val="24"/>
        </w:rPr>
      </w:pPr>
      <w:r w:rsidRPr="006C44DF">
        <w:drawing>
          <wp:anchor distT="0" distB="0" distL="114300" distR="114300" simplePos="0" relativeHeight="251659264" behindDoc="0" locked="0" layoutInCell="1" allowOverlap="1" wp14:anchorId="2BB8B77C" wp14:editId="3DDD315E">
            <wp:simplePos x="0" y="0"/>
            <wp:positionH relativeFrom="column">
              <wp:posOffset>-1270</wp:posOffset>
            </wp:positionH>
            <wp:positionV relativeFrom="paragraph">
              <wp:posOffset>605790</wp:posOffset>
            </wp:positionV>
            <wp:extent cx="5759450" cy="1934210"/>
            <wp:effectExtent l="0" t="0" r="0" b="8890"/>
            <wp:wrapTopAndBottom/>
            <wp:docPr id="3387935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93591"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1934210"/>
                    </a:xfrm>
                    <a:prstGeom prst="rect">
                      <a:avLst/>
                    </a:prstGeom>
                  </pic:spPr>
                </pic:pic>
              </a:graphicData>
            </a:graphic>
          </wp:anchor>
        </w:drawing>
      </w:r>
      <w:r>
        <w:rPr>
          <w:rFonts w:asciiTheme="minorHAnsi" w:hAnsiTheme="minorHAnsi" w:cstheme="minorHAnsi"/>
          <w:b/>
          <w:bCs/>
          <w:sz w:val="24"/>
          <w:szCs w:val="24"/>
        </w:rPr>
        <w:t xml:space="preserve">Graf </w:t>
      </w:r>
      <w:r>
        <w:rPr>
          <w:rFonts w:asciiTheme="minorHAnsi" w:hAnsiTheme="minorHAnsi" w:cstheme="minorHAnsi"/>
          <w:b/>
          <w:bCs/>
          <w:sz w:val="24"/>
          <w:szCs w:val="24"/>
        </w:rPr>
        <w:t>2</w:t>
      </w:r>
      <w:r>
        <w:rPr>
          <w:rFonts w:asciiTheme="minorHAnsi" w:hAnsiTheme="minorHAnsi" w:cstheme="minorHAnsi"/>
          <w:b/>
          <w:bCs/>
          <w:sz w:val="24"/>
          <w:szCs w:val="24"/>
        </w:rPr>
        <w:t xml:space="preserve">: </w:t>
      </w:r>
      <w:r>
        <w:rPr>
          <w:rFonts w:asciiTheme="minorHAnsi" w:hAnsiTheme="minorHAnsi" w:cstheme="minorHAnsi"/>
          <w:b/>
          <w:bCs/>
          <w:sz w:val="24"/>
          <w:szCs w:val="24"/>
        </w:rPr>
        <w:t>Reálné výnosy z hotovosti jsou v USA stále nízké a ve Velké Británii a Evropě sotva kladné</w:t>
      </w:r>
    </w:p>
    <w:p w14:paraId="15E94DE0" w14:textId="244DBB98" w:rsidR="006C44DF" w:rsidRPr="006C44DF" w:rsidRDefault="006C44DF" w:rsidP="006C44DF">
      <w:pPr>
        <w:spacing w:after="210" w:line="276" w:lineRule="auto"/>
        <w:rPr>
          <w:i/>
          <w:iCs/>
          <w:color w:val="20242B"/>
          <w:sz w:val="18"/>
          <w:szCs w:val="18"/>
          <w:shd w:val="clear" w:color="auto" w:fill="FFFFFF"/>
        </w:rPr>
      </w:pPr>
      <w:r>
        <w:rPr>
          <w:i/>
          <w:iCs/>
          <w:color w:val="20242B"/>
          <w:sz w:val="18"/>
          <w:szCs w:val="18"/>
          <w:shd w:val="clear" w:color="auto" w:fill="FFFFFF"/>
        </w:rPr>
        <w:t xml:space="preserve">Poznámka: </w:t>
      </w:r>
      <w:r w:rsidRPr="006C44DF">
        <w:rPr>
          <w:i/>
          <w:iCs/>
          <w:color w:val="20242B"/>
          <w:sz w:val="18"/>
          <w:szCs w:val="18"/>
          <w:shd w:val="clear" w:color="auto" w:fill="FFFFFF"/>
        </w:rPr>
        <w:t xml:space="preserve">Anualizovaná jednoměsíční peněžní sazba minus celková meziroční inflace. Zdroj: </w:t>
      </w:r>
      <w:proofErr w:type="spellStart"/>
      <w:r w:rsidRPr="006C44DF">
        <w:rPr>
          <w:i/>
          <w:iCs/>
          <w:color w:val="20242B"/>
          <w:sz w:val="18"/>
          <w:szCs w:val="18"/>
          <w:shd w:val="clear" w:color="auto" w:fill="FFFFFF"/>
        </w:rPr>
        <w:t>Fidelity</w:t>
      </w:r>
      <w:proofErr w:type="spellEnd"/>
      <w:r w:rsidRPr="006C44DF">
        <w:rPr>
          <w:i/>
          <w:iCs/>
          <w:color w:val="20242B"/>
          <w:sz w:val="18"/>
          <w:szCs w:val="18"/>
          <w:shd w:val="clear" w:color="auto" w:fill="FFFFFF"/>
        </w:rPr>
        <w:t xml:space="preserve"> International, </w:t>
      </w:r>
      <w:proofErr w:type="spellStart"/>
      <w:r w:rsidRPr="006C44DF">
        <w:rPr>
          <w:i/>
          <w:iCs/>
          <w:color w:val="20242B"/>
          <w:sz w:val="18"/>
          <w:szCs w:val="18"/>
          <w:shd w:val="clear" w:color="auto" w:fill="FFFFFF"/>
        </w:rPr>
        <w:t>Refinitiv</w:t>
      </w:r>
      <w:proofErr w:type="spellEnd"/>
      <w:r w:rsidRPr="006C44DF">
        <w:rPr>
          <w:i/>
          <w:iCs/>
          <w:color w:val="20242B"/>
          <w:sz w:val="18"/>
          <w:szCs w:val="18"/>
          <w:shd w:val="clear" w:color="auto" w:fill="FFFFFF"/>
        </w:rPr>
        <w:t>, únor 2024.</w:t>
      </w:r>
      <w:r w:rsidRPr="006C44DF">
        <w:rPr>
          <w:i/>
          <w:iCs/>
          <w:color w:val="20242B"/>
          <w:sz w:val="18"/>
          <w:szCs w:val="18"/>
          <w:shd w:val="clear" w:color="auto" w:fill="FFFFFF"/>
        </w:rPr>
        <w:t xml:space="preserve"> </w:t>
      </w:r>
    </w:p>
    <w:p w14:paraId="180F022D" w14:textId="77777777" w:rsidR="006C44DF" w:rsidRPr="006C44DF" w:rsidRDefault="006C44DF" w:rsidP="006C44DF">
      <w:pPr>
        <w:spacing w:line="360" w:lineRule="auto"/>
        <w:rPr>
          <w:color w:val="20242B"/>
          <w:shd w:val="clear" w:color="auto" w:fill="FFFFFF"/>
        </w:rPr>
      </w:pPr>
      <w:r w:rsidRPr="006C44DF">
        <w:rPr>
          <w:color w:val="20242B"/>
          <w:shd w:val="clear" w:color="auto" w:fill="FFFFFF"/>
        </w:rPr>
        <w:t xml:space="preserve">Není to rovnice, kterou lze úplně snadno vyřešit. Reálné výnosy z hotovosti budou sice vyšší, pokud bude inflace nadále klesat, ale to znamená, že pravděpodobně klesnou i základní sazby. Očekává se také, že trio </w:t>
      </w:r>
      <w:proofErr w:type="spellStart"/>
      <w:r w:rsidRPr="006C44DF">
        <w:rPr>
          <w:color w:val="20242B"/>
          <w:shd w:val="clear" w:color="auto" w:fill="FFFFFF"/>
        </w:rPr>
        <w:t>deglobalizace</w:t>
      </w:r>
      <w:proofErr w:type="spellEnd"/>
      <w:r w:rsidRPr="006C44DF">
        <w:rPr>
          <w:color w:val="20242B"/>
          <w:shd w:val="clear" w:color="auto" w:fill="FFFFFF"/>
        </w:rPr>
        <w:t>, demografie a dekarbonizace udrží inflaci v příštích letech vysoko. Pro střadatele z vyspělých ekonomik, jejichž průměrná délka dožití se výrazně prodloužila a jejichž pravidelný důchodový příjem po dobu desítek let bude nutné udržet, je kapitálový růst životně důležitý. Bez něj bude dlouhodobější inflace ukusovat reálný výnos.</w:t>
      </w:r>
    </w:p>
    <w:p w14:paraId="4378EA51" w14:textId="6151651E" w:rsidR="006C44DF" w:rsidRDefault="006C44DF" w:rsidP="006C44DF">
      <w:pPr>
        <w:spacing w:after="210" w:line="240" w:lineRule="auto"/>
        <w:rPr>
          <w:rFonts w:asciiTheme="minorHAnsi" w:hAnsiTheme="minorHAnsi" w:cstheme="minorHAnsi"/>
          <w:b/>
          <w:bCs/>
          <w:sz w:val="24"/>
          <w:szCs w:val="24"/>
        </w:rPr>
      </w:pPr>
      <w:r>
        <w:rPr>
          <w:rFonts w:asciiTheme="minorHAnsi" w:hAnsiTheme="minorHAnsi" w:cstheme="minorHAnsi"/>
          <w:b/>
          <w:bCs/>
          <w:sz w:val="24"/>
          <w:szCs w:val="24"/>
        </w:rPr>
        <w:t>G</w:t>
      </w:r>
      <w:r>
        <w:rPr>
          <w:rFonts w:asciiTheme="minorHAnsi" w:hAnsiTheme="minorHAnsi" w:cstheme="minorHAnsi"/>
          <w:b/>
          <w:bCs/>
          <w:sz w:val="24"/>
          <w:szCs w:val="24"/>
        </w:rPr>
        <w:t xml:space="preserve">raf </w:t>
      </w:r>
      <w:r>
        <w:rPr>
          <w:rFonts w:asciiTheme="minorHAnsi" w:hAnsiTheme="minorHAnsi" w:cstheme="minorHAnsi"/>
          <w:b/>
          <w:bCs/>
          <w:sz w:val="24"/>
          <w:szCs w:val="24"/>
        </w:rPr>
        <w:t>3</w:t>
      </w:r>
      <w:r>
        <w:rPr>
          <w:rFonts w:asciiTheme="minorHAnsi" w:hAnsiTheme="minorHAnsi" w:cstheme="minorHAnsi"/>
          <w:b/>
          <w:bCs/>
          <w:sz w:val="24"/>
          <w:szCs w:val="24"/>
        </w:rPr>
        <w:t xml:space="preserve">: </w:t>
      </w:r>
      <w:r>
        <w:rPr>
          <w:rFonts w:asciiTheme="minorHAnsi" w:hAnsiTheme="minorHAnsi" w:cstheme="minorHAnsi"/>
          <w:b/>
          <w:bCs/>
          <w:sz w:val="24"/>
          <w:szCs w:val="24"/>
        </w:rPr>
        <w:t>Rostoucí očekávaná délka dožití zvyšuje potřebu kapitálového růstu v boji proti inflaci</w:t>
      </w:r>
    </w:p>
    <w:p w14:paraId="39AC77EA" w14:textId="4C3382A8" w:rsidR="00F02332" w:rsidRPr="006C44DF" w:rsidRDefault="00F02332" w:rsidP="00F02332">
      <w:pPr>
        <w:spacing w:after="210" w:line="276" w:lineRule="auto"/>
        <w:rPr>
          <w:i/>
          <w:iCs/>
          <w:color w:val="20242B"/>
          <w:sz w:val="18"/>
          <w:szCs w:val="18"/>
          <w:shd w:val="clear" w:color="auto" w:fill="FFFFFF"/>
        </w:rPr>
      </w:pPr>
      <w:r w:rsidRPr="00F02332">
        <w:rPr>
          <w:color w:val="20242B"/>
          <w:shd w:val="clear" w:color="auto" w:fill="FFFFFF"/>
        </w:rPr>
        <w:drawing>
          <wp:inline distT="0" distB="0" distL="0" distR="0" wp14:anchorId="708D3A2D" wp14:editId="1FDACA0B">
            <wp:extent cx="5759450" cy="2138045"/>
            <wp:effectExtent l="0" t="0" r="0" b="0"/>
            <wp:docPr id="169465976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59764" name=""/>
                    <pic:cNvPicPr/>
                  </pic:nvPicPr>
                  <pic:blipFill>
                    <a:blip r:embed="rId14"/>
                    <a:stretch>
                      <a:fillRect/>
                    </a:stretch>
                  </pic:blipFill>
                  <pic:spPr>
                    <a:xfrm>
                      <a:off x="0" y="0"/>
                      <a:ext cx="5759450" cy="2138045"/>
                    </a:xfrm>
                    <a:prstGeom prst="rect">
                      <a:avLst/>
                    </a:prstGeom>
                  </pic:spPr>
                </pic:pic>
              </a:graphicData>
            </a:graphic>
          </wp:inline>
        </w:drawing>
      </w:r>
      <w:r w:rsidRPr="00F02332">
        <w:rPr>
          <w:i/>
          <w:iCs/>
          <w:color w:val="20242B"/>
          <w:sz w:val="18"/>
          <w:szCs w:val="18"/>
          <w:shd w:val="clear" w:color="auto" w:fill="FFFFFF"/>
        </w:rPr>
        <w:t xml:space="preserve"> </w:t>
      </w:r>
      <w:r w:rsidRPr="006C44DF">
        <w:rPr>
          <w:i/>
          <w:iCs/>
          <w:color w:val="20242B"/>
          <w:sz w:val="18"/>
          <w:szCs w:val="18"/>
          <w:shd w:val="clear" w:color="auto" w:fill="FFFFFF"/>
        </w:rPr>
        <w:t xml:space="preserve">Zdroj: </w:t>
      </w:r>
      <w:proofErr w:type="spellStart"/>
      <w:r>
        <w:rPr>
          <w:i/>
          <w:iCs/>
          <w:color w:val="20242B"/>
          <w:sz w:val="18"/>
          <w:szCs w:val="18"/>
          <w:shd w:val="clear" w:color="auto" w:fill="FFFFFF"/>
        </w:rPr>
        <w:t>World</w:t>
      </w:r>
      <w:proofErr w:type="spellEnd"/>
      <w:r>
        <w:rPr>
          <w:i/>
          <w:iCs/>
          <w:color w:val="20242B"/>
          <w:sz w:val="18"/>
          <w:szCs w:val="18"/>
          <w:shd w:val="clear" w:color="auto" w:fill="FFFFFF"/>
        </w:rPr>
        <w:t xml:space="preserve"> Bank, </w:t>
      </w:r>
      <w:proofErr w:type="spellStart"/>
      <w:r w:rsidRPr="006C44DF">
        <w:rPr>
          <w:i/>
          <w:iCs/>
          <w:color w:val="20242B"/>
          <w:sz w:val="18"/>
          <w:szCs w:val="18"/>
          <w:shd w:val="clear" w:color="auto" w:fill="FFFFFF"/>
        </w:rPr>
        <w:t>Fidelity</w:t>
      </w:r>
      <w:proofErr w:type="spellEnd"/>
      <w:r w:rsidRPr="006C44DF">
        <w:rPr>
          <w:i/>
          <w:iCs/>
          <w:color w:val="20242B"/>
          <w:sz w:val="18"/>
          <w:szCs w:val="18"/>
          <w:shd w:val="clear" w:color="auto" w:fill="FFFFFF"/>
        </w:rPr>
        <w:t xml:space="preserve"> International, únor 2024. </w:t>
      </w:r>
    </w:p>
    <w:p w14:paraId="796C98BA" w14:textId="24363028" w:rsidR="00F02332" w:rsidRDefault="00F02332" w:rsidP="00F02332">
      <w:pPr>
        <w:spacing w:after="210" w:line="240" w:lineRule="auto"/>
        <w:rPr>
          <w:rFonts w:asciiTheme="minorHAnsi" w:hAnsiTheme="minorHAnsi" w:cstheme="minorHAnsi"/>
          <w:b/>
          <w:bCs/>
          <w:sz w:val="24"/>
          <w:szCs w:val="24"/>
        </w:rPr>
      </w:pPr>
      <w:r>
        <w:rPr>
          <w:rFonts w:asciiTheme="minorHAnsi" w:hAnsiTheme="minorHAnsi" w:cstheme="minorHAnsi"/>
          <w:b/>
          <w:bCs/>
          <w:sz w:val="24"/>
          <w:szCs w:val="24"/>
        </w:rPr>
        <w:t>Zpátky do reality</w:t>
      </w:r>
    </w:p>
    <w:p w14:paraId="78AF67D7" w14:textId="77777777" w:rsidR="00F02332" w:rsidRDefault="00F02332" w:rsidP="00F02332">
      <w:pPr>
        <w:spacing w:line="360" w:lineRule="auto"/>
        <w:rPr>
          <w:color w:val="20242B"/>
          <w:shd w:val="clear" w:color="auto" w:fill="FFFFFF"/>
        </w:rPr>
      </w:pPr>
      <w:r w:rsidRPr="00F02332">
        <w:rPr>
          <w:color w:val="20242B"/>
          <w:shd w:val="clear" w:color="auto" w:fill="FFFFFF"/>
        </w:rPr>
        <w:t>Každý, kdo investuje v časovém horizontu delším než několik let, musí hledat aktiva nesoucí kladný reálný výnos, nejen pouze kladný nominální výnos. Strategie “</w:t>
      </w:r>
      <w:proofErr w:type="spellStart"/>
      <w:r w:rsidRPr="00F02332">
        <w:rPr>
          <w:color w:val="20242B"/>
          <w:shd w:val="clear" w:color="auto" w:fill="FFFFFF"/>
        </w:rPr>
        <w:t>Multi</w:t>
      </w:r>
      <w:proofErr w:type="spellEnd"/>
      <w:r w:rsidRPr="00F02332">
        <w:rPr>
          <w:color w:val="20242B"/>
          <w:shd w:val="clear" w:color="auto" w:fill="FFFFFF"/>
        </w:rPr>
        <w:t xml:space="preserve"> </w:t>
      </w:r>
      <w:proofErr w:type="spellStart"/>
      <w:r w:rsidRPr="00F02332">
        <w:rPr>
          <w:color w:val="20242B"/>
          <w:shd w:val="clear" w:color="auto" w:fill="FFFFFF"/>
        </w:rPr>
        <w:t>asset</w:t>
      </w:r>
      <w:proofErr w:type="spellEnd"/>
      <w:r w:rsidRPr="00F02332">
        <w:rPr>
          <w:color w:val="20242B"/>
          <w:shd w:val="clear" w:color="auto" w:fill="FFFFFF"/>
        </w:rPr>
        <w:t xml:space="preserve">” obvykle nabízejí vyšší výnosy </w:t>
      </w:r>
      <w:r w:rsidRPr="00F02332">
        <w:rPr>
          <w:color w:val="20242B"/>
          <w:shd w:val="clear" w:color="auto" w:fill="FFFFFF"/>
        </w:rPr>
        <w:lastRenderedPageBreak/>
        <w:t xml:space="preserve">než hotovost a slibují dvě zásadní strukturální výhody – potenciál kapitálového růstu a výhodu flexibility a diverzifikace. </w:t>
      </w:r>
    </w:p>
    <w:p w14:paraId="4A1C8E5F" w14:textId="7D5C3125" w:rsidR="00F02332" w:rsidRPr="00F02332" w:rsidRDefault="00F02332" w:rsidP="00F02332">
      <w:pPr>
        <w:spacing w:line="360" w:lineRule="auto"/>
        <w:rPr>
          <w:color w:val="20242B"/>
          <w:shd w:val="clear" w:color="auto" w:fill="FFFFFF"/>
        </w:rPr>
      </w:pPr>
      <w:r w:rsidRPr="00F02332">
        <w:rPr>
          <w:color w:val="20242B"/>
          <w:shd w:val="clear" w:color="auto" w:fill="FFFFFF"/>
        </w:rPr>
        <w:t xml:space="preserve">Mix základních výnosových aktiv – obvykle vysoce kvalitních dluhopisů, </w:t>
      </w:r>
      <w:proofErr w:type="spellStart"/>
      <w:r w:rsidRPr="00F02332">
        <w:rPr>
          <w:color w:val="20242B"/>
          <w:shd w:val="clear" w:color="auto" w:fill="FFFFFF"/>
        </w:rPr>
        <w:t>high</w:t>
      </w:r>
      <w:proofErr w:type="spellEnd"/>
      <w:r w:rsidRPr="00F02332">
        <w:rPr>
          <w:color w:val="20242B"/>
          <w:shd w:val="clear" w:color="auto" w:fill="FFFFFF"/>
        </w:rPr>
        <w:t xml:space="preserve"> </w:t>
      </w:r>
      <w:proofErr w:type="spellStart"/>
      <w:r w:rsidRPr="00F02332">
        <w:rPr>
          <w:color w:val="20242B"/>
          <w:shd w:val="clear" w:color="auto" w:fill="FFFFFF"/>
        </w:rPr>
        <w:t>yield</w:t>
      </w:r>
      <w:proofErr w:type="spellEnd"/>
      <w:r w:rsidRPr="00F02332">
        <w:rPr>
          <w:color w:val="20242B"/>
          <w:shd w:val="clear" w:color="auto" w:fill="FFFFFF"/>
        </w:rPr>
        <w:t xml:space="preserve"> dluhopisů a vybraných dluhopisů rozvíjejících se trhů – tvoří relativně stabilní základy “</w:t>
      </w:r>
      <w:proofErr w:type="spellStart"/>
      <w:r w:rsidRPr="00F02332">
        <w:rPr>
          <w:color w:val="20242B"/>
          <w:shd w:val="clear" w:color="auto" w:fill="FFFFFF"/>
        </w:rPr>
        <w:t>multi</w:t>
      </w:r>
      <w:proofErr w:type="spellEnd"/>
      <w:r w:rsidRPr="00F02332">
        <w:rPr>
          <w:color w:val="20242B"/>
          <w:shd w:val="clear" w:color="auto" w:fill="FFFFFF"/>
        </w:rPr>
        <w:t xml:space="preserve"> </w:t>
      </w:r>
      <w:proofErr w:type="spellStart"/>
      <w:r w:rsidRPr="00F02332">
        <w:rPr>
          <w:color w:val="20242B"/>
          <w:shd w:val="clear" w:color="auto" w:fill="FFFFFF"/>
        </w:rPr>
        <w:t>asset</w:t>
      </w:r>
      <w:proofErr w:type="spellEnd"/>
      <w:r w:rsidRPr="00F02332">
        <w:rPr>
          <w:color w:val="20242B"/>
          <w:shd w:val="clear" w:color="auto" w:fill="FFFFFF"/>
        </w:rPr>
        <w:t xml:space="preserve">” fondu. Vzhledem k jejich nedávnému zlevnění skýtají tato aktiva kromě atraktivních kupónů i potenciál pro růst hodnoty. Nezastupitelné místo zde mají i dividendově orientované akcie, jejichž růst zisků by v průběhu času měl podporovat, jak růst dividend, tak ceny akcií. </w:t>
      </w:r>
    </w:p>
    <w:p w14:paraId="1E33C627" w14:textId="5A265FDD" w:rsidR="00F02332" w:rsidRPr="00F02332" w:rsidRDefault="00F02332" w:rsidP="00F02332">
      <w:pPr>
        <w:spacing w:line="360" w:lineRule="auto"/>
        <w:rPr>
          <w:color w:val="20242B"/>
          <w:shd w:val="clear" w:color="auto" w:fill="FFFFFF"/>
        </w:rPr>
      </w:pPr>
      <w:r w:rsidRPr="00F02332">
        <w:rPr>
          <w:color w:val="20242B"/>
          <w:shd w:val="clear" w:color="auto" w:fill="FFFFFF"/>
        </w:rPr>
        <w:t>Pokud sazby v příštích měsících a čtvrtletích skutečně klesnou, pak mají před sebou výnosová aktiva slušný výhled – jejich cena by měly s poklesem úrokových sazeb růst. Kromě toho je pravděpodobné, že příliv peněz do bezpečnější části spektra pevně úročených aktiv, který probíhal v posledních několika letech, zejména do fondů peněžního trhu, se s poklesem úrokových sazeb zvrátí. Tyto peníze budou směřovat především za vyšším výnosem, což dále podpoří ceny.</w:t>
      </w:r>
    </w:p>
    <w:p w14:paraId="5634C273" w14:textId="445F3756" w:rsidR="00F02332" w:rsidRPr="00F02332" w:rsidRDefault="00F02332" w:rsidP="00F02332">
      <w:pPr>
        <w:rPr>
          <w:rFonts w:asciiTheme="minorHAnsi" w:hAnsiTheme="minorHAnsi" w:cstheme="minorHAnsi"/>
          <w:b/>
          <w:bCs/>
          <w:sz w:val="24"/>
          <w:szCs w:val="24"/>
        </w:rPr>
      </w:pPr>
      <w:r w:rsidRPr="00F02332">
        <w:drawing>
          <wp:anchor distT="0" distB="0" distL="114300" distR="114300" simplePos="0" relativeHeight="251660288" behindDoc="0" locked="0" layoutInCell="1" allowOverlap="1" wp14:anchorId="3BC8D4B9" wp14:editId="0EE53628">
            <wp:simplePos x="0" y="0"/>
            <wp:positionH relativeFrom="column">
              <wp:posOffset>-54610</wp:posOffset>
            </wp:positionH>
            <wp:positionV relativeFrom="paragraph">
              <wp:posOffset>441960</wp:posOffset>
            </wp:positionV>
            <wp:extent cx="5759450" cy="2254885"/>
            <wp:effectExtent l="0" t="0" r="0" b="0"/>
            <wp:wrapTopAndBottom/>
            <wp:docPr id="2941241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24136" name=""/>
                    <pic:cNvPicPr/>
                  </pic:nvPicPr>
                  <pic:blipFill>
                    <a:blip r:embed="rId15">
                      <a:extLst>
                        <a:ext uri="{28A0092B-C50C-407E-A947-70E740481C1C}">
                          <a14:useLocalDpi xmlns:a14="http://schemas.microsoft.com/office/drawing/2010/main" val="0"/>
                        </a:ext>
                      </a:extLst>
                    </a:blip>
                    <a:stretch>
                      <a:fillRect/>
                    </a:stretch>
                  </pic:blipFill>
                  <pic:spPr>
                    <a:xfrm>
                      <a:off x="0" y="0"/>
                      <a:ext cx="5759450" cy="2254885"/>
                    </a:xfrm>
                    <a:prstGeom prst="rect">
                      <a:avLst/>
                    </a:prstGeom>
                  </pic:spPr>
                </pic:pic>
              </a:graphicData>
            </a:graphic>
          </wp:anchor>
        </w:drawing>
      </w:r>
      <w:r w:rsidRPr="00F02332">
        <w:rPr>
          <w:rFonts w:asciiTheme="minorHAnsi" w:hAnsiTheme="minorHAnsi" w:cstheme="minorHAnsi"/>
          <w:b/>
          <w:bCs/>
          <w:sz w:val="24"/>
          <w:szCs w:val="24"/>
        </w:rPr>
        <w:t>Graf 4: Výplata dividend: silné společnosti efektivně využívají reinvestovaný kapitál</w:t>
      </w:r>
    </w:p>
    <w:p w14:paraId="3AB197E2" w14:textId="31FB0008" w:rsidR="00F02332" w:rsidRPr="00F02332" w:rsidRDefault="00F02332" w:rsidP="00F02332">
      <w:pPr>
        <w:pStyle w:val="F2-zkladn"/>
        <w:rPr>
          <w:i/>
          <w:iCs/>
          <w:color w:val="20242B"/>
          <w:sz w:val="18"/>
          <w:szCs w:val="18"/>
          <w:shd w:val="clear" w:color="auto" w:fill="FFFFFF"/>
        </w:rPr>
      </w:pPr>
      <w:r w:rsidRPr="00F02332">
        <w:rPr>
          <w:i/>
          <w:iCs/>
          <w:color w:val="20242B"/>
          <w:sz w:val="18"/>
          <w:szCs w:val="18"/>
          <w:shd w:val="clear" w:color="auto" w:fill="FFFFFF"/>
        </w:rPr>
        <w:t xml:space="preserve">Zdroj: </w:t>
      </w:r>
      <w:proofErr w:type="spellStart"/>
      <w:r w:rsidRPr="00F02332">
        <w:rPr>
          <w:i/>
          <w:iCs/>
          <w:color w:val="20242B"/>
          <w:sz w:val="18"/>
          <w:szCs w:val="18"/>
          <w:shd w:val="clear" w:color="auto" w:fill="FFFFFF"/>
        </w:rPr>
        <w:t>Fidelity</w:t>
      </w:r>
      <w:proofErr w:type="spellEnd"/>
      <w:r w:rsidRPr="00F02332">
        <w:rPr>
          <w:i/>
          <w:iCs/>
          <w:color w:val="20242B"/>
          <w:sz w:val="18"/>
          <w:szCs w:val="18"/>
          <w:shd w:val="clear" w:color="auto" w:fill="FFFFFF"/>
        </w:rPr>
        <w:t xml:space="preserve"> International, </w:t>
      </w:r>
      <w:proofErr w:type="spellStart"/>
      <w:r w:rsidRPr="00F02332">
        <w:rPr>
          <w:i/>
          <w:iCs/>
          <w:color w:val="20242B"/>
          <w:sz w:val="18"/>
          <w:szCs w:val="18"/>
          <w:shd w:val="clear" w:color="auto" w:fill="FFFFFF"/>
        </w:rPr>
        <w:t>Refinitiv</w:t>
      </w:r>
      <w:proofErr w:type="spellEnd"/>
      <w:r w:rsidRPr="00F02332">
        <w:rPr>
          <w:i/>
          <w:iCs/>
          <w:color w:val="20242B"/>
          <w:sz w:val="18"/>
          <w:szCs w:val="18"/>
          <w:shd w:val="clear" w:color="auto" w:fill="FFFFFF"/>
        </w:rPr>
        <w:t>, únor 2024.</w:t>
      </w:r>
    </w:p>
    <w:p w14:paraId="6359142D" w14:textId="7FD88ADF" w:rsidR="00F02332" w:rsidRDefault="00F02332" w:rsidP="00AE04A8">
      <w:pPr>
        <w:spacing w:after="210" w:line="360" w:lineRule="auto"/>
        <w:rPr>
          <w:color w:val="20242B"/>
          <w:shd w:val="clear" w:color="auto" w:fill="FFFFFF"/>
        </w:rPr>
      </w:pPr>
      <w:r>
        <w:rPr>
          <w:rFonts w:asciiTheme="minorHAnsi" w:hAnsiTheme="minorHAnsi" w:cstheme="minorHAnsi"/>
          <w:b/>
          <w:bCs/>
          <w:sz w:val="24"/>
          <w:szCs w:val="24"/>
        </w:rPr>
        <w:t>Méně vajec, méně košíků?</w:t>
      </w:r>
    </w:p>
    <w:p w14:paraId="399C60FC" w14:textId="77777777" w:rsidR="00F02332" w:rsidRDefault="00F02332" w:rsidP="00F02332">
      <w:pPr>
        <w:spacing w:line="360" w:lineRule="auto"/>
        <w:rPr>
          <w:color w:val="20242B"/>
          <w:shd w:val="clear" w:color="auto" w:fill="FFFFFF"/>
        </w:rPr>
      </w:pPr>
      <w:r w:rsidRPr="00F02332">
        <w:rPr>
          <w:color w:val="20242B"/>
          <w:shd w:val="clear" w:color="auto" w:fill="FFFFFF"/>
        </w:rPr>
        <w:t xml:space="preserve">Nejsou to samozřejmě jen atraktivní výnosy, které v posledních čtyřech letech zatraktivnily hotovost v očích investorů. Hotovost s sebou nesla také nulové riziko v době, kdy se dluhopisové i akciové trhy zdály rozkolísané. </w:t>
      </w:r>
    </w:p>
    <w:p w14:paraId="46CDCE4D" w14:textId="77777777" w:rsidR="00F02332" w:rsidRDefault="00F02332" w:rsidP="00F02332">
      <w:pPr>
        <w:spacing w:line="360" w:lineRule="auto"/>
        <w:rPr>
          <w:color w:val="20242B"/>
          <w:shd w:val="clear" w:color="auto" w:fill="FFFFFF"/>
        </w:rPr>
      </w:pPr>
      <w:r w:rsidRPr="00F02332">
        <w:rPr>
          <w:color w:val="20242B"/>
          <w:shd w:val="clear" w:color="auto" w:fill="FFFFFF"/>
        </w:rPr>
        <w:t xml:space="preserve">Podmínky se však postupně mění, stejně jako výnosy různých druhů aktiv. Diverzifikace může pomoci jednotlivé výnosy v portfoliu v čase vyrovnat. S tím, jak éra nízkých sazeb odeznívá a cykly se zkracují, bude dynamická alokace, tedy vzájemné míchání aktiv, v budoucnu pravděpodobně ještě cennější. </w:t>
      </w:r>
    </w:p>
    <w:p w14:paraId="344A7DBB" w14:textId="211CABAA" w:rsidR="00F02332" w:rsidRDefault="00F02332" w:rsidP="00F02332">
      <w:pPr>
        <w:spacing w:line="360" w:lineRule="auto"/>
        <w:rPr>
          <w:color w:val="20242B"/>
          <w:shd w:val="clear" w:color="auto" w:fill="FFFFFF"/>
        </w:rPr>
      </w:pPr>
      <w:r w:rsidRPr="00F02332">
        <w:rPr>
          <w:color w:val="20242B"/>
          <w:shd w:val="clear" w:color="auto" w:fill="FFFFFF"/>
        </w:rPr>
        <w:t xml:space="preserve">Ale ani diverzifikace už není, co bývala. Když byly výnosy před pandemií na samém dně, idiosynkratická (individuální) rizika aktiv byla investory přehlížena, pokud tato aktiva slibovala alespoň nějaký výnos. </w:t>
      </w:r>
      <w:r w:rsidRPr="00F02332">
        <w:rPr>
          <w:color w:val="20242B"/>
          <w:shd w:val="clear" w:color="auto" w:fill="FFFFFF"/>
        </w:rPr>
        <w:lastRenderedPageBreak/>
        <w:t xml:space="preserve">Poučení z posledních několika let naopak říká, že podobně zjednodušující přístup k diverzifikaci by mohl někoho přijít draho. </w:t>
      </w:r>
    </w:p>
    <w:p w14:paraId="0E4CD907" w14:textId="171E9C65" w:rsidR="00F02332" w:rsidRPr="00F02332" w:rsidRDefault="00F02332" w:rsidP="00F02332">
      <w:pPr>
        <w:spacing w:line="360" w:lineRule="auto"/>
        <w:rPr>
          <w:color w:val="20242B"/>
          <w:shd w:val="clear" w:color="auto" w:fill="FFFFFF"/>
        </w:rPr>
      </w:pPr>
      <w:r w:rsidRPr="00F02332">
        <w:rPr>
          <w:color w:val="20242B"/>
          <w:shd w:val="clear" w:color="auto" w:fill="FFFFFF"/>
        </w:rPr>
        <w:t xml:space="preserve">Výnosu je nyní najednou dostatek, a tak bude v budoucnu třeba zvážit nejen roli jednotlivých aktiv, ale také to, jak zapadají do portfolia. Korelace se v poslední době staly méně předvídatelnými, což klade vyšší nároky na dosažení skutečné diverzifikace. Tento proces pravděpodobně povede k </w:t>
      </w:r>
      <w:proofErr w:type="spellStart"/>
      <w:r w:rsidRPr="00F02332">
        <w:rPr>
          <w:color w:val="20242B"/>
          <w:shd w:val="clear" w:color="auto" w:fill="FFFFFF"/>
        </w:rPr>
        <w:t>zacílenějším</w:t>
      </w:r>
      <w:proofErr w:type="spellEnd"/>
      <w:r w:rsidRPr="00F02332">
        <w:rPr>
          <w:color w:val="20242B"/>
          <w:shd w:val="clear" w:color="auto" w:fill="FFFFFF"/>
        </w:rPr>
        <w:t xml:space="preserve"> portfoliím s menším počtem aktiv, ale jasnějším zaměřením na roli, kterou mají hrát.</w:t>
      </w:r>
    </w:p>
    <w:p w14:paraId="4E699B44" w14:textId="0D795507" w:rsidR="00F02332" w:rsidRDefault="00F02332" w:rsidP="00F02332">
      <w:pPr>
        <w:pStyle w:val="F2-zkladn"/>
        <w:rPr>
          <w:rFonts w:asciiTheme="minorHAnsi" w:hAnsiTheme="minorHAnsi" w:cstheme="minorHAnsi"/>
          <w:b/>
          <w:bCs/>
          <w:sz w:val="24"/>
          <w:szCs w:val="24"/>
        </w:rPr>
      </w:pPr>
      <w:r w:rsidRPr="00F02332">
        <w:drawing>
          <wp:anchor distT="0" distB="0" distL="114300" distR="114300" simplePos="0" relativeHeight="251661312" behindDoc="0" locked="0" layoutInCell="1" allowOverlap="1" wp14:anchorId="13B152AB" wp14:editId="61E62024">
            <wp:simplePos x="0" y="0"/>
            <wp:positionH relativeFrom="column">
              <wp:posOffset>-62230</wp:posOffset>
            </wp:positionH>
            <wp:positionV relativeFrom="paragraph">
              <wp:posOffset>400050</wp:posOffset>
            </wp:positionV>
            <wp:extent cx="5759450" cy="2526665"/>
            <wp:effectExtent l="0" t="0" r="0" b="6985"/>
            <wp:wrapTopAndBottom/>
            <wp:docPr id="4009253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25383" name=""/>
                    <pic:cNvPicPr/>
                  </pic:nvPicPr>
                  <pic:blipFill>
                    <a:blip r:embed="rId16">
                      <a:extLst>
                        <a:ext uri="{28A0092B-C50C-407E-A947-70E740481C1C}">
                          <a14:useLocalDpi xmlns:a14="http://schemas.microsoft.com/office/drawing/2010/main" val="0"/>
                        </a:ext>
                      </a:extLst>
                    </a:blip>
                    <a:stretch>
                      <a:fillRect/>
                    </a:stretch>
                  </pic:blipFill>
                  <pic:spPr>
                    <a:xfrm>
                      <a:off x="0" y="0"/>
                      <a:ext cx="5759450" cy="2526665"/>
                    </a:xfrm>
                    <a:prstGeom prst="rect">
                      <a:avLst/>
                    </a:prstGeom>
                  </pic:spPr>
                </pic:pic>
              </a:graphicData>
            </a:graphic>
          </wp:anchor>
        </w:drawing>
      </w:r>
      <w:r w:rsidRPr="00F02332">
        <w:rPr>
          <w:rFonts w:asciiTheme="minorHAnsi" w:hAnsiTheme="minorHAnsi" w:cstheme="minorHAnsi"/>
          <w:b/>
          <w:bCs/>
          <w:sz w:val="24"/>
          <w:szCs w:val="24"/>
        </w:rPr>
        <w:t xml:space="preserve">Graf </w:t>
      </w:r>
      <w:r>
        <w:rPr>
          <w:rFonts w:asciiTheme="minorHAnsi" w:hAnsiTheme="minorHAnsi" w:cstheme="minorHAnsi"/>
          <w:b/>
          <w:bCs/>
          <w:sz w:val="24"/>
          <w:szCs w:val="24"/>
        </w:rPr>
        <w:t>5</w:t>
      </w:r>
      <w:r w:rsidRPr="00F02332">
        <w:rPr>
          <w:rFonts w:asciiTheme="minorHAnsi" w:hAnsiTheme="minorHAnsi" w:cstheme="minorHAnsi"/>
          <w:b/>
          <w:bCs/>
          <w:sz w:val="24"/>
          <w:szCs w:val="24"/>
        </w:rPr>
        <w:t xml:space="preserve">: </w:t>
      </w:r>
      <w:r>
        <w:rPr>
          <w:rFonts w:asciiTheme="minorHAnsi" w:hAnsiTheme="minorHAnsi" w:cstheme="minorHAnsi"/>
          <w:b/>
          <w:bCs/>
          <w:sz w:val="24"/>
          <w:szCs w:val="24"/>
        </w:rPr>
        <w:t>Hotovost překonala v roce 2022 ostatní aktiva, což byl vzácný jev</w:t>
      </w:r>
    </w:p>
    <w:p w14:paraId="08799703" w14:textId="77777777" w:rsidR="00F02332" w:rsidRPr="00F02332" w:rsidRDefault="00F02332" w:rsidP="00F02332">
      <w:pPr>
        <w:spacing w:line="360" w:lineRule="auto"/>
        <w:rPr>
          <w:color w:val="20242B"/>
          <w:shd w:val="clear" w:color="auto" w:fill="FFFFFF"/>
        </w:rPr>
      </w:pPr>
      <w:r w:rsidRPr="00F02332">
        <w:rPr>
          <w:i/>
          <w:iCs/>
          <w:color w:val="20242B"/>
          <w:shd w:val="clear" w:color="auto" w:fill="FFFFFF"/>
        </w:rPr>
        <w:t>„Měny jsou, dle našeho názoru, dalším příkladem toho, jak se změní investování do výnosu. Větší rozptyl měnové politiky mezi regiony povede k vyšší volatilitě měnových kurzů, což znamená, že měnový mix aktiv v portfoliu bude vyžadovat vyšší pozornost a proaktivní řízení měnového rizika bude zásadním nástrojem k dosažení cílů, jako je ochrana proti poklesu nebo diverzifikace, než tomu bylo v minulosti. V současné době je například korelace mezi dluhopisy a akciemi vyšší, než byla dříve, a americký dolar se díky negativní korelaci s oběma těmito aktivy ukazuje jako účinné diverzifikační aktivum,“</w:t>
      </w:r>
      <w:r w:rsidRPr="00F02332">
        <w:rPr>
          <w:color w:val="20242B"/>
          <w:shd w:val="clear" w:color="auto" w:fill="FFFFFF"/>
        </w:rPr>
        <w:t xml:space="preserve"> vysvětluje Talib </w:t>
      </w:r>
      <w:proofErr w:type="spellStart"/>
      <w:r w:rsidRPr="00F02332">
        <w:rPr>
          <w:color w:val="20242B"/>
          <w:shd w:val="clear" w:color="auto" w:fill="FFFFFF"/>
        </w:rPr>
        <w:t>Sheikh</w:t>
      </w:r>
      <w:proofErr w:type="spellEnd"/>
      <w:r w:rsidRPr="00F02332">
        <w:rPr>
          <w:color w:val="20242B"/>
          <w:shd w:val="clear" w:color="auto" w:fill="FFFFFF"/>
        </w:rPr>
        <w:t xml:space="preserve">, který se ve společnosti </w:t>
      </w:r>
      <w:proofErr w:type="spellStart"/>
      <w:r w:rsidRPr="00F02332">
        <w:rPr>
          <w:color w:val="20242B"/>
          <w:shd w:val="clear" w:color="auto" w:fill="FFFFFF"/>
        </w:rPr>
        <w:t>Fidelity</w:t>
      </w:r>
      <w:proofErr w:type="spellEnd"/>
      <w:r w:rsidRPr="00F02332">
        <w:rPr>
          <w:color w:val="20242B"/>
          <w:shd w:val="clear" w:color="auto" w:fill="FFFFFF"/>
        </w:rPr>
        <w:t xml:space="preserve"> International zabývá strategiemi </w:t>
      </w:r>
      <w:proofErr w:type="spellStart"/>
      <w:r w:rsidRPr="00F02332">
        <w:rPr>
          <w:color w:val="20242B"/>
          <w:shd w:val="clear" w:color="auto" w:fill="FFFFFF"/>
        </w:rPr>
        <w:t>Multi</w:t>
      </w:r>
      <w:proofErr w:type="spellEnd"/>
      <w:r w:rsidRPr="00F02332">
        <w:rPr>
          <w:color w:val="20242B"/>
          <w:shd w:val="clear" w:color="auto" w:fill="FFFFFF"/>
        </w:rPr>
        <w:t xml:space="preserve"> </w:t>
      </w:r>
      <w:proofErr w:type="spellStart"/>
      <w:r w:rsidRPr="00F02332">
        <w:rPr>
          <w:color w:val="20242B"/>
          <w:shd w:val="clear" w:color="auto" w:fill="FFFFFF"/>
        </w:rPr>
        <w:t>Asset</w:t>
      </w:r>
      <w:proofErr w:type="spellEnd"/>
      <w:r w:rsidRPr="00F02332">
        <w:rPr>
          <w:color w:val="20242B"/>
          <w:shd w:val="clear" w:color="auto" w:fill="FFFFFF"/>
        </w:rPr>
        <w:t xml:space="preserve">. </w:t>
      </w:r>
    </w:p>
    <w:p w14:paraId="4C3950E7" w14:textId="2480DE2E" w:rsidR="00F02332" w:rsidRPr="00F02332" w:rsidRDefault="00F02332" w:rsidP="00F02332">
      <w:pPr>
        <w:pStyle w:val="F2-zkladn"/>
      </w:pPr>
      <w:r>
        <w:rPr>
          <w:rFonts w:asciiTheme="minorHAnsi" w:hAnsiTheme="minorHAnsi" w:cstheme="minorHAnsi"/>
          <w:b/>
          <w:bCs/>
          <w:sz w:val="24"/>
          <w:szCs w:val="24"/>
        </w:rPr>
        <w:t>Nový svět</w:t>
      </w:r>
    </w:p>
    <w:p w14:paraId="7668D2CB" w14:textId="5DB29E9C" w:rsidR="00F02332" w:rsidRPr="00F02332" w:rsidRDefault="00F02332" w:rsidP="00F02332">
      <w:pPr>
        <w:spacing w:line="360" w:lineRule="auto"/>
        <w:rPr>
          <w:color w:val="20242B"/>
          <w:shd w:val="clear" w:color="auto" w:fill="FFFFFF"/>
        </w:rPr>
      </w:pPr>
      <w:r w:rsidRPr="00F02332">
        <w:rPr>
          <w:color w:val="20242B"/>
          <w:shd w:val="clear" w:color="auto" w:fill="FFFFFF"/>
        </w:rPr>
        <w:t>Náhlá proměna makroekonomického paradigmatu učinila z hotovosti lákavou volbu pro investory hledající pravidelný příjem. Je rovněž nepopiratelné, že existovala období, kdy bylo výhodnější držet hotovost než jiná aktiva. Podmínky na trhu se však neustále mění a pro hotovost je dnes daleko méně příznivý výhled než v roce 2023. Přestože tedy může hotovost být čas od času dobrým místem, kam dát na chvíli peníze, určitě není dobrým místem pro setrvání.</w:t>
      </w:r>
    </w:p>
    <w:p w14:paraId="3E6A048A" w14:textId="77777777" w:rsidR="00F02332" w:rsidRDefault="00F02332" w:rsidP="00F02332">
      <w:pPr>
        <w:pStyle w:val="F2-zkladn"/>
      </w:pPr>
    </w:p>
    <w:p w14:paraId="2D9DC72A" w14:textId="77777777" w:rsidR="00F02332" w:rsidRPr="00F02332" w:rsidRDefault="00F02332" w:rsidP="00F02332">
      <w:pPr>
        <w:pStyle w:val="F2-zkladn"/>
      </w:pPr>
    </w:p>
    <w:p w14:paraId="171975ED" w14:textId="77777777" w:rsidR="00F02332" w:rsidRPr="00F02332" w:rsidRDefault="00F02332" w:rsidP="00F02332">
      <w:pPr>
        <w:pStyle w:val="F2-zkladn"/>
      </w:pPr>
    </w:p>
    <w:p w14:paraId="7519A95D" w14:textId="77777777" w:rsidR="0015633B" w:rsidRPr="00F02332" w:rsidRDefault="0015633B" w:rsidP="00F02332">
      <w:pPr>
        <w:spacing w:before="0" w:line="360" w:lineRule="auto"/>
        <w:rPr>
          <w:color w:val="20242B"/>
          <w:shd w:val="clear" w:color="auto" w:fill="FFFFFF"/>
        </w:rPr>
      </w:pPr>
    </w:p>
    <w:p w14:paraId="6B2FB8CC" w14:textId="77777777" w:rsidR="0015633B" w:rsidRDefault="0015633B" w:rsidP="00627C23">
      <w:pPr>
        <w:spacing w:before="0" w:line="240" w:lineRule="atLeast"/>
        <w:rPr>
          <w:b/>
        </w:rPr>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7"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lastRenderedPageBreak/>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7A9E114" w14:textId="645A5990" w:rsidR="007B45EC" w:rsidRDefault="0074497D" w:rsidP="0074497D">
      <w:pPr>
        <w:pStyle w:val="F2-zkladn"/>
      </w:pPr>
      <w:r w:rsidRPr="0074497D">
        <w:t>MKAT12107</w:t>
      </w:r>
    </w:p>
    <w:sectPr w:rsidR="007B45EC" w:rsidSect="00C533BD">
      <w:headerReference w:type="default" r:id="rId18"/>
      <w:footerReference w:type="default" r:id="rId19"/>
      <w:headerReference w:type="first" r:id="rId20"/>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CBBC" w14:textId="77777777" w:rsidR="00C533BD" w:rsidRDefault="00C533BD">
      <w:r>
        <w:separator/>
      </w:r>
    </w:p>
  </w:endnote>
  <w:endnote w:type="continuationSeparator" w:id="0">
    <w:p w14:paraId="309ACAE3" w14:textId="77777777" w:rsidR="00C533BD" w:rsidRDefault="00C5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2A58C" w14:textId="77777777" w:rsidR="00C533BD" w:rsidRDefault="00C533BD">
      <w:r>
        <w:separator/>
      </w:r>
    </w:p>
  </w:footnote>
  <w:footnote w:type="continuationSeparator" w:id="0">
    <w:p w14:paraId="6B5A1CC1" w14:textId="77777777" w:rsidR="00C533BD" w:rsidRDefault="00C533BD">
      <w:r>
        <w:continuationSeparator/>
      </w:r>
    </w:p>
  </w:footnote>
  <w:footnote w:type="continuationNotice" w:id="1">
    <w:p w14:paraId="638052EF" w14:textId="77777777" w:rsidR="00C533BD" w:rsidRDefault="00C53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0"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2"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1"/>
  </w:num>
  <w:num w:numId="3" w16cid:durableId="1582174134">
    <w:abstractNumId w:val="36"/>
  </w:num>
  <w:num w:numId="4" w16cid:durableId="1727561179">
    <w:abstractNumId w:val="22"/>
  </w:num>
  <w:num w:numId="5" w16cid:durableId="56979214">
    <w:abstractNumId w:val="24"/>
  </w:num>
  <w:num w:numId="6" w16cid:durableId="52699439">
    <w:abstractNumId w:val="20"/>
  </w:num>
  <w:num w:numId="7" w16cid:durableId="1526748972">
    <w:abstractNumId w:val="34"/>
  </w:num>
  <w:num w:numId="8" w16cid:durableId="1090007024">
    <w:abstractNumId w:val="25"/>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9"/>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3"/>
  </w:num>
  <w:num w:numId="27" w16cid:durableId="339890089">
    <w:abstractNumId w:val="28"/>
  </w:num>
  <w:num w:numId="28" w16cid:durableId="571113239">
    <w:abstractNumId w:val="19"/>
  </w:num>
  <w:num w:numId="29" w16cid:durableId="1961842128">
    <w:abstractNumId w:val="21"/>
  </w:num>
  <w:num w:numId="30" w16cid:durableId="1308898731">
    <w:abstractNumId w:val="23"/>
  </w:num>
  <w:num w:numId="31" w16cid:durableId="297690701">
    <w:abstractNumId w:val="30"/>
  </w:num>
  <w:num w:numId="32" w16cid:durableId="1759861628">
    <w:abstractNumId w:val="37"/>
  </w:num>
  <w:num w:numId="33" w16cid:durableId="2037387264">
    <w:abstractNumId w:val="27"/>
  </w:num>
  <w:num w:numId="34" w16cid:durableId="1056201924">
    <w:abstractNumId w:val="35"/>
  </w:num>
  <w:num w:numId="35" w16cid:durableId="1984849997">
    <w:abstractNumId w:val="38"/>
  </w:num>
  <w:num w:numId="36" w16cid:durableId="1007513551">
    <w:abstractNumId w:val="14"/>
  </w:num>
  <w:num w:numId="37" w16cid:durableId="1296060939">
    <w:abstractNumId w:val="32"/>
  </w:num>
  <w:num w:numId="38" w16cid:durableId="1285503461">
    <w:abstractNumId w:val="16"/>
  </w:num>
  <w:num w:numId="39" w16cid:durableId="54021683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26F85"/>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370DA"/>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497D"/>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62D"/>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eliska.krohova@crestcom.cz"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9867</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11516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2024-03-13T10:53:00Z</dcterms:created>
  <dcterms:modified xsi:type="dcterms:W3CDTF">2024-03-13T10:53:00Z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